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6C7A00"/>
          <w:sz w:val="18"/>
          <w:szCs w:val="18"/>
        </w:rPr>
        <w:t xml:space="preserve">SanctumShield · Agentic Governance for the Other 99%</w:t>
      </w:r>
    </w:p>
    <w:p>
      <w:pPr>
        <w:pStyle w:val="Heading1"/>
        <w:spacing w:after="120" w:before="60"/>
      </w:pPr>
      <w:r>
        <w:rPr>
          <w:b/>
          <w:bCs/>
        </w:rPr>
        <w:t xml:space="preserve">MSP AI Disclosure — The Standing Answer Sheet</w:t>
      </w:r>
    </w:p>
    <w:p>
      <w:pPr>
        <w:spacing w:after="100"/>
      </w:pPr>
      <w:r>
        <w:rPr>
          <w:b/>
          <w:bCs/>
        </w:rPr>
        <w:t xml:space="preserve">Audience: </w:t>
      </w:r>
      <w:r>
        <w:t xml:space="preserve">managed service providers (MSP / MSSP) who want to answer the AI-governance questions before a client, auditor, or insurer asks them.</w:t>
      </w:r>
    </w:p>
    <w:p>
      <w:pPr>
        <w:spacing w:after="100"/>
      </w:pPr>
      <w:r>
        <w:rPr>
          <w:b/>
          <w:bCs/>
        </w:rPr>
        <w:t xml:space="preserve">Why this exists. </w:t>
      </w:r>
      <w:r>
        <w:t xml:space="preserve">Fixing this client-by-client means re-papering a whole book of agreements. Instead: fill this in once, refresh it quarterly, and reference it from your service agreement by incorporation. One artifact instead of two hundred amendments — and handing it over unprompted during procurement makes you look categorically different from a provider who has to go find out.</w:t>
      </w:r>
    </w:p>
    <w:p>
      <w:pPr>
        <w:spacing w:after="100"/>
      </w:pPr>
      <w:r>
        <w:rPr>
          <w:b/>
          <w:bCs/>
        </w:rPr>
        <w:t xml:space="preserve">How this pairs. </w:t>
      </w:r>
      <w:r>
        <w:t xml:space="preserve">This is the answer artifact. The MSP AI Trust Questionnaire is the assessment instrument your clients use — the ten questions this document answers in advance. Each section is tagged with the client question it resolves.</w:t>
      </w:r>
    </w:p>
    <w:p>
      <w:pPr>
        <w:pStyle w:val="Heading2"/>
        <w:spacing w:after="80" w:before="220"/>
      </w:pPr>
      <w:r>
        <w:rPr>
          <w:b/>
          <w:bCs/>
        </w:rPr>
        <w:t xml:space="preserve">How to use this — for providers</w:t>
      </w:r>
    </w:p>
    <w:p>
      <w:pPr>
        <w:pStyle w:val="ListParagraph"/>
        <w:numPr>
          <w:ilvl w:val="0"/>
          <w:numId w:val="2"/>
        </w:numPr>
        <w:spacing w:after="40"/>
      </w:pPr>
      <w:r>
        <w:t xml:space="preserve">Fill every field with your real, current facts. Where a control isn't in place yet, say so plainly and note the plan and date.</w:t>
      </w:r>
    </w:p>
    <w:p>
      <w:pPr>
        <w:pStyle w:val="ListParagraph"/>
        <w:numPr>
          <w:ilvl w:val="0"/>
          <w:numId w:val="2"/>
        </w:numPr>
        <w:spacing w:after="40"/>
      </w:pPr>
      <w:r>
        <w:t xml:space="preserve">Make each answer inspectable: a claim resolves to a control, an artifact, a named owner, and a date.</w:t>
      </w:r>
    </w:p>
    <w:p>
      <w:pPr>
        <w:pStyle w:val="ListParagraph"/>
        <w:numPr>
          <w:ilvl w:val="0"/>
          <w:numId w:val="2"/>
        </w:numPr>
        <w:spacing w:after="40"/>
      </w:pPr>
      <w:r>
        <w:t xml:space="preserve">Reference it from your service agreement by incorporation, and refresh it quarterly (and on any material platform-vendor AI change).</w:t>
      </w:r>
    </w:p>
    <w:p>
      <w:pPr>
        <w:pStyle w:val="ListParagraph"/>
        <w:numPr>
          <w:ilvl w:val="0"/>
          <w:numId w:val="2"/>
        </w:numPr>
        <w:spacing w:after="40"/>
      </w:pPr>
      <w:r>
        <w:t xml:space="preserve">Hand it over during procurement, unprompted. It's a trust asset, not a compliance chore.</w:t>
      </w:r>
    </w:p>
    <w:p>
      <w:pPr>
        <w:spacing w:after="140"/>
      </w:pPr>
      <w:r>
        <w:rPr>
          <w:i/>
          <w:iCs/>
          <w:color w:val="666666"/>
          <w:sz w:val="18"/>
          <w:szCs w:val="18"/>
        </w:rPr>
        <w:t xml:space="preserve">Honest limits: completing this Disclosure is NOT a certification and does not by itself make you or your client compliant; it is a transparency and accountability artifact. It is not legal advice — have counsel review the incorporation language.</w:t>
      </w:r>
    </w:p>
    <w:p>
      <w:pPr>
        <w:pStyle w:val="Heading2"/>
        <w:spacing w:after="80" w:before="220"/>
      </w:pPr>
      <w:r>
        <w:rPr>
          <w:b/>
          <w:bCs/>
        </w:rPr>
        <w:t xml:space="preserve">The disclosure</w:t>
      </w:r>
    </w:p>
    <w:tbl>
      <w:tblPr>
        <w:tblW w:type="pct" w:w="100%"/>
        <w:tblBorders>
          <w:top w:val="single" w:color="CCCCCC" w:sz="4"/>
          <w:left w:val="single" w:color="CCCCCC" w:sz="4"/>
          <w:bottom w:val="single" w:color="CCCCCC" w:sz="4"/>
          <w:right w:val="single" w:color="CCCCCC" w:sz="4"/>
          <w:insideH w:val="single" w:color="CCCCCC" w:sz="4"/>
          <w:insideV w:val="single" w:color="CCCCCC" w:sz="4"/>
        </w:tblBorders>
      </w:tblPr>
      <w:tblGrid>
        <w:gridCol w:w="100"/>
        <w:gridCol w:w="100"/>
        <w:gridCol w:w="100"/>
        <w:gridCol w:w="100"/>
      </w:tblGrid>
      <w:tr>
        <w:tc>
          <w:tcPr>
            <w:tcW w:type="pct" w:w="22%"/>
          </w:tcPr>
          <w:p>
            <w:pPr>
              <w:spacing w:after="100"/>
            </w:pPr>
            <w:r>
              <w:rPr>
                <w:b/>
                <w:bCs/>
              </w:rPr>
              <w:t xml:space="preserve">Provider</w:t>
            </w:r>
          </w:p>
        </w:tc>
        <w:tc>
          <w:tcPr>
            <w:tcW w:type="pct" w:w="43%"/>
            <w:shd w:fill="F4F6E8" w:val="clear"/>
          </w:tcPr>
          <w:p>
            <w:r>
              <w:t xml:space="preserve"/>
            </w:r>
          </w:p>
        </w:tc>
        <w:tc>
          <w:tcPr>
            <w:tcW w:type="pct" w:w="15%"/>
          </w:tcPr>
          <w:p>
            <w:pPr>
              <w:spacing w:after="100"/>
            </w:pPr>
            <w:r>
              <w:rPr>
                <w:b/>
                <w:bCs/>
              </w:rPr>
              <w:t xml:space="preserve">Version / date</w:t>
            </w:r>
          </w:p>
        </w:tc>
        <w:tc>
          <w:tcPr>
            <w:tcW w:type="pct" w:w="20%"/>
            <w:shd w:fill="F4F6E8" w:val="clear"/>
          </w:tcPr>
          <w:p>
            <w:r>
              <w:t xml:space="preserve"/>
            </w:r>
          </w:p>
        </w:tc>
      </w:tr>
    </w:tbl>
    <w:p>
      <w:pPr>
        <w:spacing w:after="40" w:before="180"/>
      </w:pPr>
      <w:r>
        <w:rPr>
          <w:b/>
          <w:bCs/>
          <w:sz w:val="24"/>
          <w:szCs w:val="24"/>
        </w:rPr>
        <w:t xml:space="preserve">1. AI features active in client environments</w:t>
      </w:r>
      <w:r>
        <w:rPr>
          <w:i/>
          <w:iCs/>
          <w:color w:val="6C7A00"/>
          <w:sz w:val="18"/>
          <w:szCs w:val="18"/>
        </w:rPr>
        <w:t xml:space="preserve">   answers client question 1</w:t>
      </w:r>
    </w:p>
    <w:p>
      <w:pPr>
        <w:spacing w:after="100"/>
      </w:pPr>
      <w:r>
        <w:t xml:space="preserve">List every AI-driven feature currently active in client environments — across cloud, on-premises, and hybrid deployments — and, for each, what it can do and whether it can execute code or take action.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distinguishes AI features from ordinary automation, and states how you learn when your platform vendor turns a new one on.</w:t>
      </w:r>
    </w:p>
    <w:p>
      <w:pPr>
        <w:spacing w:after="40" w:before="180"/>
      </w:pPr>
      <w:r>
        <w:rPr>
          <w:b/>
          <w:bCs/>
          <w:sz w:val="24"/>
          <w:szCs w:val="24"/>
        </w:rPr>
        <w:t xml:space="preserve">2. Change control over platform-vendor AI releases</w:t>
      </w:r>
      <w:r>
        <w:rPr>
          <w:i/>
          <w:iCs/>
          <w:color w:val="6C7A00"/>
          <w:sz w:val="18"/>
          <w:szCs w:val="18"/>
        </w:rPr>
        <w:t xml:space="preserve">   answers client question 2 · non-negotiable</w:t>
      </w:r>
    </w:p>
    <w:p>
      <w:pPr>
        <w:spacing w:after="100"/>
      </w:pPr>
      <w:r>
        <w:t xml:space="preserve">Describe how much notice you get from your platform vendor before a new AI feature ships, and what happens between that notice and it running on client endpoints. Attach or reference your change-control policy.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for cloud-delivered platforms, states plainly whether releases arrive automatically, and what control you do or don't have.</w:t>
      </w:r>
    </w:p>
    <w:p>
      <w:pPr>
        <w:spacing w:after="40" w:before="180"/>
      </w:pPr>
      <w:r>
        <w:rPr>
          <w:b/>
          <w:bCs/>
          <w:sz w:val="24"/>
          <w:szCs w:val="24"/>
        </w:rPr>
        <w:t xml:space="preserve">3. Approval process — and where the client enters it</w:t>
      </w:r>
      <w:r>
        <w:rPr>
          <w:i/>
          <w:iCs/>
          <w:color w:val="6C7A00"/>
          <w:sz w:val="18"/>
          <w:szCs w:val="18"/>
        </w:rPr>
        <w:t xml:space="preserve">   answers client question 3</w:t>
      </w:r>
    </w:p>
    <w:p>
      <w:pPr>
        <w:spacing w:after="100"/>
      </w:pPr>
      <w:r>
        <w:t xml:space="preserve">Describe the approval step for AI features that can execute scripts or take action, and where (if anywhere) the client enters it. Reference the written procedure.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4. Per-client / per-endpoint vs. global controls</w:t>
      </w:r>
      <w:r>
        <w:rPr>
          <w:i/>
          <w:iCs/>
          <w:color w:val="6C7A00"/>
          <w:sz w:val="18"/>
          <w:szCs w:val="18"/>
        </w:rPr>
        <w:t xml:space="preserve">   answers client question 4</w:t>
      </w:r>
    </w:p>
    <w:p>
      <w:pPr>
        <w:spacing w:after="100"/>
      </w:pPr>
      <w:r>
        <w:t xml:space="preserve">State whether AI controls can be scoped or disabled for a single client organization (or a single endpoint), or whether enablement is global across your client base.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if per-client scoping isn't available yet, say so and name the compensating control.</w:t>
      </w:r>
    </w:p>
    <w:p>
      <w:pPr>
        <w:spacing w:after="40" w:before="180"/>
      </w:pPr>
      <w:r>
        <w:rPr>
          <w:b/>
          <w:bCs/>
          <w:sz w:val="24"/>
          <w:szCs w:val="24"/>
        </w:rPr>
        <w:t xml:space="preserve">5. Evidence artifacts you produce</w:t>
      </w:r>
      <w:r>
        <w:rPr>
          <w:i/>
          <w:iCs/>
          <w:color w:val="6C7A00"/>
          <w:sz w:val="18"/>
          <w:szCs w:val="18"/>
        </w:rPr>
        <w:t xml:space="preserve">   answers client question 5</w:t>
      </w:r>
    </w:p>
    <w:p>
      <w:pPr>
        <w:spacing w:after="100"/>
      </w:pPr>
      <w:r>
        <w:t xml:space="preserve">Describe the record of AI-initiated actions you can produce — what acted, on which asset, when, and under whose authority — the cadence (on event and monthly), and attach the example artifact a client can expect.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6. Human review before execution</w:t>
      </w:r>
      <w:r>
        <w:rPr>
          <w:i/>
          <w:iCs/>
          <w:color w:val="6C7A00"/>
          <w:sz w:val="18"/>
          <w:szCs w:val="18"/>
        </w:rPr>
        <w:t xml:space="preserve">   answers client question 6</w:t>
      </w:r>
    </w:p>
    <w:p>
      <w:pPr>
        <w:spacing w:after="100"/>
      </w:pPr>
      <w:r>
        <w:t xml:space="preserve">State whether a technician reviews AI-generated scripts before they execute in a client environment, or whether generated code runs unreviewed. Reference the review policy.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7. “Kill switch” — scope, time, owner, last tested</w:t>
      </w:r>
      <w:r>
        <w:rPr>
          <w:i/>
          <w:iCs/>
          <w:color w:val="6C7A00"/>
          <w:sz w:val="18"/>
          <w:szCs w:val="18"/>
        </w:rPr>
        <w:t xml:space="preserve">   answers client question 7 · non-negotiable</w:t>
      </w:r>
    </w:p>
    <w:p>
      <w:pPr>
        <w:spacing w:after="100"/>
      </w:pPr>
      <w:r>
        <w:t xml:space="preserve">Document the procedure to disable AI for a single client organization or endpoint without degrading the rest of the service: its scope, the time-to-effect, the named person authorized to invoke it, and the date it was last tested.</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a switch that only stops future invocations — or one that can only be thrown platform-wide — is disclosed as such, not called a per-client kill switch.</w:t>
      </w:r>
    </w:p>
    <w:p>
      <w:pPr>
        <w:spacing w:after="40" w:before="180"/>
      </w:pPr>
      <w:r>
        <w:rPr>
          <w:b/>
          <w:bCs/>
          <w:sz w:val="24"/>
          <w:szCs w:val="24"/>
        </w:rPr>
        <w:t xml:space="preserve">8. Data egress — recipients, terms, retention, training</w:t>
      </w:r>
      <w:r>
        <w:rPr>
          <w:i/>
          <w:iCs/>
          <w:color w:val="6C7A00"/>
          <w:sz w:val="18"/>
          <w:szCs w:val="18"/>
        </w:rPr>
        <w:t xml:space="preserve">   answers client question 8 · non-negotiable</w:t>
      </w:r>
    </w:p>
    <w:p>
      <w:pPr>
        <w:spacing w:after="100"/>
      </w:pPr>
      <w:r>
        <w:t xml:space="preserve">State where client data goes when an AI feature processes it — ticket text, hostnames, file paths, session data — who receives it, under what terms, retained how long, and whether any of it is used to train a model. Attach the subprocessor list and data-processing terms.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9. Breach notification — in hours</w:t>
      </w:r>
      <w:r>
        <w:rPr>
          <w:i/>
          <w:iCs/>
          <w:color w:val="6C7A00"/>
          <w:sz w:val="18"/>
          <w:szCs w:val="18"/>
        </w:rPr>
        <w:t xml:space="preserve">   answers client question 9</w:t>
      </w:r>
    </w:p>
    <w:p>
      <w:pPr>
        <w:spacing w:after="100"/>
      </w:pPr>
      <w:r>
        <w:t xml:space="preserve">State your notification commitment, in hours, if your platform vendor or one of its AI subprocessors is breached — and reference the clause that commits to it.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140"/>
      </w:pPr>
      <w:r>
        <w:rPr>
          <w:i/>
          <w:iCs/>
          <w:color w:val="666666"/>
          <w:sz w:val="18"/>
          <w:szCs w:val="18"/>
        </w:rPr>
        <w:t xml:space="preserve">Strong disclosure: gives a number, not “promptly.” The client's own regulatory clock runs regardless of the vendor→provider→client relay.</w:t>
      </w:r>
    </w:p>
    <w:p>
      <w:pPr>
        <w:spacing w:after="40" w:before="180"/>
      </w:pPr>
      <w:r>
        <w:rPr>
          <w:b/>
          <w:bCs/>
          <w:sz w:val="24"/>
          <w:szCs w:val="24"/>
        </w:rPr>
        <w:t xml:space="preserve">10. Named accountable owner</w:t>
      </w:r>
      <w:r>
        <w:rPr>
          <w:i/>
          <w:iCs/>
          <w:color w:val="6C7A00"/>
          <w:sz w:val="18"/>
          <w:szCs w:val="18"/>
        </w:rPr>
        <w:t xml:space="preserve">   answers client question 10</w:t>
      </w:r>
    </w:p>
    <w:p>
      <w:pPr>
        <w:spacing w:after="100"/>
      </w:pPr>
      <w:r>
        <w:t xml:space="preserve">Name the specific person accountable for AI behavior in client environments — role, name, contact.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Right to decline</w:t>
      </w:r>
    </w:p>
    <w:p>
      <w:pPr>
        <w:spacing w:after="100"/>
      </w:pPr>
      <w:r>
        <w:t xml:space="preserve">State whether a client can opt out of AI features and remain a customer in good standing, including any price or service-level difference.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tc>
      </w:tr>
    </w:tbl>
    <w:p>
      <w:pPr>
        <w:spacing w:after="40" w:before="180"/>
      </w:pPr>
      <w:r>
        <w:rPr>
          <w:b/>
          <w:bCs/>
          <w:sz w:val="24"/>
          <w:szCs w:val="24"/>
        </w:rPr>
        <w:t xml:space="preserve">If you are a security provider (MSSP) — autonomy inventory</w:t>
      </w:r>
    </w:p>
    <w:p>
      <w:pPr>
        <w:spacing w:after="100"/>
      </w:pPr>
      <w:r>
        <w:t xml:space="preserve">For each AI-assisted response action — host isolation, account disablement, alert suppression, detection tuning — state whether the AI acts autonomously or recommends to an analyst, and confirm that AI decisions to suppress or downgrade an alert are retained, reviewable, and present in the evidence you produce for client audits.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4F6E8" w:val="clear"/>
            <w:tcMar>
              <w:top w:type="dxa" w:w="80"/>
              <w:left w:type="dxa" w:w="120"/>
              <w:bottom w:type="dxa" w:w="80"/>
              <w:right w:type="dxa" w:w="120"/>
            </w:tcMar>
          </w:tcPr>
          <w:p>
            <w:r>
              <w:t xml:space="preserve"/>
            </w:r>
          </w:p>
          <w:p>
            <w:r>
              <w:t xml:space="preserve"/>
            </w:r>
          </w:p>
          <w:p>
            <w:r>
              <w:t xml:space="preserve"/>
            </w:r>
          </w:p>
        </w:tc>
      </w:tr>
    </w:tbl>
    <w:p>
      <w:pPr>
        <w:pStyle w:val="Heading2"/>
        <w:spacing w:after="80" w:before="220"/>
      </w:pPr>
      <w:r>
        <w:rPr>
          <w:b/>
          <w:bCs/>
        </w:rPr>
        <w:t xml:space="preserve">How to incorporate this by reference</w:t>
      </w:r>
    </w:p>
    <w:p>
      <w:pPr>
        <w:spacing w:after="100"/>
      </w:pPr>
      <w:r>
        <w:t xml:space="preserve">Add a clause to your service agreement rather than restating this document inside it, for example:</w:t>
      </w:r>
    </w:p>
    <w:p>
      <w:pPr>
        <w:shd w:fill="EFEFEF" w:val="clear"/>
        <w:spacing w:after="100"/>
      </w:pPr>
      <w:r>
        <w:rPr>
          <w:rFonts w:ascii="Consolas" w:cs="Consolas" w:eastAsia="Consolas" w:hAnsi="Consolas"/>
          <w:sz w:val="18"/>
          <w:szCs w:val="18"/>
        </w:rPr>
        <w:t xml:space="preserve">Provider maintains a current AI Disclosure describing the AI operating in Client environments, published at &lt;URL&gt; and refreshed no less than quarterly. That AI Disclosure is incorporated into this Agreement by reference. Provider will notify Client of material changes to it.</w:t>
      </w:r>
    </w:p>
    <w:p>
      <w:pPr>
        <w:spacing w:after="140"/>
      </w:pPr>
      <w:r>
        <w:rPr>
          <w:i/>
          <w:iCs/>
          <w:color w:val="666666"/>
          <w:sz w:val="18"/>
          <w:szCs w:val="18"/>
        </w:rPr>
        <w:t xml:space="preserve">Have your counsel review and adapt the wording. New agreements carry the reference from day one; existing agreements pick it up at renewal.</w:t>
      </w:r>
    </w:p>
    <w:p>
      <w:pPr>
        <w:pStyle w:val="Heading2"/>
        <w:spacing w:after="80" w:before="220"/>
      </w:pPr>
      <w:r>
        <w:rPr>
          <w:b/>
          <w:bCs/>
        </w:rPr>
        <w:t xml:space="preserve">Guardrails honored</w:t>
      </w:r>
    </w:p>
    <w:p>
      <w:pPr>
        <w:pStyle w:val="ListParagraph"/>
        <w:numPr>
          <w:ilvl w:val="0"/>
          <w:numId w:val="1"/>
        </w:numPr>
        <w:spacing w:after="40"/>
      </w:pPr>
      <w:r>
        <w:t xml:space="preserve">Not a certification — publishing this Disclosure attests transparency, not compliance or safety.</w:t>
      </w:r>
    </w:p>
    <w:p>
      <w:pPr>
        <w:pStyle w:val="ListParagraph"/>
        <w:numPr>
          <w:ilvl w:val="0"/>
          <w:numId w:val="1"/>
        </w:numPr>
        <w:spacing w:after="40"/>
      </w:pPr>
      <w:r>
        <w:t xml:space="preserve">No guarantee of outcome. It records what you disclose; it does not warrant a result.</w:t>
      </w:r>
    </w:p>
    <w:p>
      <w:pPr>
        <w:pStyle w:val="ListParagraph"/>
        <w:numPr>
          <w:ilvl w:val="0"/>
          <w:numId w:val="1"/>
        </w:numPr>
        <w:spacing w:after="40"/>
      </w:pPr>
      <w:r>
        <w:t xml:space="preserve">The subprocessor list, example artifact, and by-reference addendum are good practice to adopt — describe your real, current state, and note where something isn't in place yet.</w:t>
      </w:r>
    </w:p>
    <w:p>
      <w:pPr>
        <w:pStyle w:val="Heading2"/>
        <w:spacing w:after="80" w:before="220"/>
      </w:pPr>
      <w:r>
        <w:rPr>
          <w:b/>
          <w:bCs/>
        </w:rPr>
        <w:t xml:space="preserve">Sources</w:t>
      </w:r>
    </w:p>
    <w:p>
      <w:pPr>
        <w:pStyle w:val="ListParagraph"/>
        <w:numPr>
          <w:ilvl w:val="0"/>
          <w:numId w:val="1"/>
        </w:numPr>
        <w:spacing w:after="40"/>
      </w:pPr>
      <w:r>
        <w:t xml:space="preserve">OWASP GenAI Security Project, </w:t>
      </w:r>
      <w:r>
        <w:rPr>
          <w:i/>
          <w:iCs/>
        </w:rPr>
        <w:t xml:space="preserve">OWASP Top 10 for Agentic Applications (2026)</w:t>
      </w:r>
      <w:r>
        <w:t xml:space="preserve"> (ASI01–ASI10) — </w:t>
      </w:r>
      <w:hyperlink w:history="1" r:id="rIdbmtqxfhocr1cxw64zllmd">
        <w:r>
          <w:rPr>
            <w:rStyle w:val="Hyperlink"/>
          </w:rPr>
          <w:t xml:space="preserve">genai.owasp.org</w:t>
        </w:r>
      </w:hyperlink>
    </w:p>
    <w:p>
      <w:pPr>
        <w:pStyle w:val="ListParagraph"/>
        <w:numPr>
          <w:ilvl w:val="0"/>
          <w:numId w:val="1"/>
        </w:numPr>
        <w:spacing w:after="40"/>
      </w:pPr>
      <w:r>
        <w:t xml:space="preserve">Cloud Security Alliance, </w:t>
      </w:r>
      <w:r>
        <w:rPr>
          <w:i/>
          <w:iCs/>
        </w:rPr>
        <w:t xml:space="preserve">The Agentic Trust Framework</w:t>
      </w:r>
      <w:r>
        <w:t xml:space="preserve"> (Feb 2, 2026) — </w:t>
      </w:r>
      <w:hyperlink w:history="1" r:id="rIdb8-7p3rq_bozor6x7fqmq">
        <w:r>
          <w:rPr>
            <w:rStyle w:val="Hyperlink"/>
          </w:rPr>
          <w:t xml:space="preserve">cloudsecurityalliance.org</w:t>
        </w:r>
      </w:hyperlink>
    </w:p>
    <w:p>
      <w:pPr>
        <w:pStyle w:val="ListParagraph"/>
        <w:numPr>
          <w:ilvl w:val="0"/>
          <w:numId w:val="1"/>
        </w:numPr>
        <w:spacing w:after="40"/>
      </w:pPr>
      <w:r>
        <w:t xml:space="preserve">Cunningham, C. </w:t>
      </w:r>
      <w:r>
        <w:rPr>
          <w:i/>
          <w:iCs/>
        </w:rPr>
        <w:t xml:space="preserve">Agentic Zero Trust</w:t>
      </w:r>
      <w:r>
        <w:t xml:space="preserve"> v3.0 (May 2026), Cequence — </w:t>
      </w:r>
      <w:hyperlink w:history="1" r:id="rIdanr-riisxrycqivqlrhy8">
        <w:r>
          <w:rPr>
            <w:rStyle w:val="Hyperlink"/>
          </w:rPr>
          <w:t xml:space="preserve">cequence.ai/agentic-zero-trust</w:t>
        </w:r>
      </w:hyperlink>
    </w:p>
    <w:p>
      <w:pPr>
        <w:pStyle w:val="ListParagraph"/>
        <w:numPr>
          <w:ilvl w:val="0"/>
          <w:numId w:val="1"/>
        </w:numPr>
        <w:spacing w:after="40"/>
      </w:pPr>
      <w:r>
        <w:t xml:space="preserve">NIST, </w:t>
      </w:r>
      <w:r>
        <w:rPr>
          <w:i/>
          <w:iCs/>
        </w:rPr>
        <w:t xml:space="preserve">AI Risk Management Framework (AI RMF 1.0)</w:t>
      </w:r>
      <w:r>
        <w:t xml:space="preserve"> — </w:t>
      </w:r>
      <w:hyperlink w:history="1" r:id="rIdspngvp9uhvqzvbkinseqe">
        <w:r>
          <w:rPr>
            <w:rStyle w:val="Hyperlink"/>
          </w:rPr>
          <w:t xml:space="preserve">nist.gov</w:t>
        </w:r>
      </w:hyperlink>
    </w:p>
    <w:p>
      <w:pPr>
        <w:spacing w:before="240"/>
      </w:pPr>
      <w:r>
        <w:rPr>
          <w:color w:val="888888"/>
          <w:sz w:val="16"/>
          <w:szCs w:val="16"/>
        </w:rPr>
        <w:t xml:space="preserve">© PIGENAI LLC · SanctumShield · sanctumshield.com · This is an educational template, not legal advice or a compliance certification.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mtqxfhocr1cxw64zllmd" Type="http://schemas.openxmlformats.org/officeDocument/2006/relationships/hyperlink" Target="https://genai.owasp.org/resource/owasp-top-10-for-agentic-applications-for-2026/" TargetMode="External"/><Relationship Id="rIdb8-7p3rq_bozor6x7fqmq" Type="http://schemas.openxmlformats.org/officeDocument/2006/relationships/hyperlink" Target="https://cloudsecurityalliance.org/blog/2026/02/02/the-agentic-trust-framework-zero-trust-governance-for-ai-agents" TargetMode="External"/><Relationship Id="rIdanr-riisxrycqivqlrhy8" Type="http://schemas.openxmlformats.org/officeDocument/2006/relationships/hyperlink" Target="https://www.cequence.ai/agentic-zero-trust/" TargetMode="External"/><Relationship Id="rIdspngvp9uhvqzvbkinseqe" Type="http://schemas.openxmlformats.org/officeDocument/2006/relationships/hyperlink" Target="https://www.nist.gov/itl/ai-risk-management-framework"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2026-08-12T06:26:35.004Z</dcterms:created>
  <dcterms:modified xsi:type="dcterms:W3CDTF">2026-08-12T06:26:35.004Z</dcterms:modified>
</cp:coreProperties>
</file>

<file path=docProps/custom.xml><?xml version="1.0" encoding="utf-8"?>
<Properties xmlns="http://schemas.openxmlformats.org/officeDocument/2006/custom-properties" xmlns:vt="http://schemas.openxmlformats.org/officeDocument/2006/docPropsVTypes"/>
</file>